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542C">
      <w:pPr>
        <w:rPr>
          <w:rFonts w:hint="eastAsia"/>
        </w:rPr>
      </w:pPr>
      <w:r>
        <w:rPr>
          <w:rFonts w:hint="eastAsia"/>
        </w:rPr>
        <w:t>附件3：</w:t>
      </w:r>
    </w:p>
    <w:p w14:paraId="6C45017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评分标准细则</w:t>
      </w:r>
    </w:p>
    <w:p w14:paraId="368A1107">
      <w:pPr>
        <w:rPr>
          <w:rFonts w:hint="eastAsia"/>
        </w:rPr>
      </w:pPr>
    </w:p>
    <w:p w14:paraId="1F40AD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项目名称：学术交流中心日常经营物资采购项目</w:t>
      </w:r>
    </w:p>
    <w:p w14:paraId="09EAE8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项目编号：NCDS-2026-CG-001</w:t>
      </w:r>
    </w:p>
    <w:p w14:paraId="2D4DE3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评审组织与程序</w:t>
      </w:r>
    </w:p>
    <w:p w14:paraId="079F86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评审工作由采购人依法组建的磋商小组负责。磋商小组由采购人代表和评审专家共5人单数组成。</w:t>
      </w:r>
    </w:p>
    <w:p w14:paraId="5CC5041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评审程序分为资格性审查、符合性审查、详细评审和推荐成交候选人四个阶段。</w:t>
      </w:r>
    </w:p>
    <w:p w14:paraId="1B41446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资格性审查：依据磋商文件“供应商资格要求”条款，对供应商提交的资格证明文件进行审查。任何一项不符合要求的，其响应文件按无效处理。</w:t>
      </w:r>
    </w:p>
    <w:p w14:paraId="1357FF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符合性审查：对通过资格性审查的响应文件，审查其是否对磋商文件的实质性要求（如交货期、质保期、付款方式、不可偏离的技术参数等）做出完全响应。存在重大负偏离的，其响应文件按无效处理。</w:t>
      </w:r>
    </w:p>
    <w:p w14:paraId="6CFB129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详细评审：对通过符合性审查的响应文件，按照本章程第三章的评分标准进行量化评分。</w:t>
      </w:r>
    </w:p>
    <w:p w14:paraId="3B71DA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推荐成交候选人：磋商小组根据综合得分由高到低排序，推荐1-3名成交候选人，并编写评审报告。</w:t>
      </w:r>
    </w:p>
    <w:p w14:paraId="2A56562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评分标准</w:t>
      </w:r>
    </w:p>
    <w:p w14:paraId="26299C8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本项目采用综合评分法，满分为100分。评分由价格部分（30分）、商务部分（20分）、技术部分（45分）、样品评审部分（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5分） 构成。具体细则如下：</w:t>
      </w:r>
    </w:p>
    <w:p w14:paraId="4FDF288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（一）价格部分评分细则（30分）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019"/>
        <w:gridCol w:w="4663"/>
      </w:tblGrid>
      <w:tr w14:paraId="02E4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A7A06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评分项</w:t>
            </w:r>
          </w:p>
        </w:tc>
        <w:tc>
          <w:tcPr>
            <w:tcW w:w="1019" w:type="dxa"/>
          </w:tcPr>
          <w:p w14:paraId="5FF171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4663" w:type="dxa"/>
          </w:tcPr>
          <w:p w14:paraId="4228C7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评审内容与评分标准</w:t>
            </w:r>
          </w:p>
        </w:tc>
      </w:tr>
      <w:tr w14:paraId="5869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22D26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价格得分</w:t>
            </w:r>
          </w:p>
        </w:tc>
        <w:tc>
          <w:tcPr>
            <w:tcW w:w="1019" w:type="dxa"/>
            <w:vAlign w:val="center"/>
          </w:tcPr>
          <w:p w14:paraId="4C2C1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4663" w:type="dxa"/>
          </w:tcPr>
          <w:p w14:paraId="4FF034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以满足磋商文件要求且通过符合性审查的各供应商 “分项报价明细表” 中的总计金额（即最终报价） 进行评审。</w:t>
            </w:r>
          </w:p>
          <w:p w14:paraId="471905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价格得分计算公式：</w:t>
            </w:r>
          </w:p>
          <w:p w14:paraId="67EB8D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价格得分 = (评标基准价 / 最终报价) × 30</w:t>
            </w:r>
          </w:p>
          <w:p w14:paraId="341F8A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评标基准价：为通过符合性审查的所有供应商最终报价中的最低价。</w:t>
            </w:r>
          </w:p>
          <w:p w14:paraId="76E1F22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 最终报价超过项目预算金额（¥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172610.00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元）的，视为无效响应。</w:t>
            </w:r>
          </w:p>
        </w:tc>
      </w:tr>
    </w:tbl>
    <w:p w14:paraId="6BC9253E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商务部分评分细则（20分）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989"/>
        <w:gridCol w:w="4693"/>
      </w:tblGrid>
      <w:tr w14:paraId="406E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1C97274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评分项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847D86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4693" w:type="dxa"/>
            <w:shd w:val="clear" w:color="auto" w:fill="auto"/>
            <w:vAlign w:val="top"/>
          </w:tcPr>
          <w:p w14:paraId="0B307B0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评审内容与评分标准</w:t>
            </w:r>
          </w:p>
        </w:tc>
      </w:tr>
      <w:tr w14:paraId="7B91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80FC3E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同类项目业绩</w:t>
            </w:r>
          </w:p>
        </w:tc>
        <w:tc>
          <w:tcPr>
            <w:tcW w:w="989" w:type="dxa"/>
            <w:vAlign w:val="center"/>
          </w:tcPr>
          <w:p w14:paraId="4782AC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93" w:type="dxa"/>
          </w:tcPr>
          <w:p w14:paraId="123D43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提供近三年（2023年1月1日至今）与酒店、高校、大型企事业单位签订的 “日常物资/消耗品” 供货合同。</w:t>
            </w:r>
          </w:p>
          <w:p w14:paraId="4C04E0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评分标准：每提供1份符合要求的有效合同得3分，本项最高得10分。</w:t>
            </w:r>
          </w:p>
          <w:p w14:paraId="54C8CF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（须提供合同关键页复印件，含双方签章、合同标的、金额及签订日期，否则不计分）</w:t>
            </w:r>
          </w:p>
          <w:p w14:paraId="461E3C8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EA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734AB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企业综合实力</w:t>
            </w:r>
          </w:p>
        </w:tc>
        <w:tc>
          <w:tcPr>
            <w:tcW w:w="989" w:type="dxa"/>
            <w:vAlign w:val="center"/>
          </w:tcPr>
          <w:p w14:paraId="61C346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93" w:type="dxa"/>
          </w:tcPr>
          <w:p w14:paraId="21FA1A7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仓储与配送能力：在丽水市莲都区或周边30公里范围内拥有自营或长期租赁仓库的，得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分；在浙江省内其他地区有仓库的，得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分；其余情况不得分。（须提供产权证明或租赁合同复印件）</w:t>
            </w:r>
          </w:p>
        </w:tc>
      </w:tr>
    </w:tbl>
    <w:p w14:paraId="2F29805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（三）技术部分评分细则（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004"/>
        <w:gridCol w:w="4678"/>
      </w:tblGrid>
      <w:tr w14:paraId="5F43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1D22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评分项</w:t>
            </w:r>
          </w:p>
        </w:tc>
        <w:tc>
          <w:tcPr>
            <w:tcW w:w="1004" w:type="dxa"/>
          </w:tcPr>
          <w:p w14:paraId="47BE8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4678" w:type="dxa"/>
          </w:tcPr>
          <w:p w14:paraId="64DA0C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评审内容与评分标准</w:t>
            </w:r>
          </w:p>
        </w:tc>
      </w:tr>
      <w:tr w14:paraId="5CED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7B3C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供货组织与应急保障方案</w:t>
            </w:r>
          </w:p>
        </w:tc>
        <w:tc>
          <w:tcPr>
            <w:tcW w:w="1004" w:type="dxa"/>
            <w:vAlign w:val="center"/>
          </w:tcPr>
          <w:p w14:paraId="6D7A9F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678" w:type="dxa"/>
          </w:tcPr>
          <w:p w14:paraId="5B8DC13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 常规供货方案（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分）：对常规订单（48小时内送达）的流程设计、人员配置、车辆调度的合理性、可行性进行综合评价。方案详尽、逻辑清晰、保障有力的，得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分；方案较完整、可行的，得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分；方案简单、保障不足的，得1-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分；未提供不得分。</w:t>
            </w:r>
          </w:p>
          <w:p w14:paraId="7C909FF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 应急保障方案（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分）：针对紧急补货（4小时内响应）和 “首批应急物资15日内交付” 的专项保障措施进行评价。措施具体、预案完备、承诺可靠的，得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分；措施较具体、可行的，得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分；措施空泛的，得1-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分；未提供不得分。</w:t>
            </w:r>
          </w:p>
          <w:p w14:paraId="6CA3FFF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3. 库存管理方案（5分）：为确保本项目物资持续、稳定供应而设计的安全库存管理方案。方案科学、可操作性强的，得5分；方案一般的，得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分；未提供不得分。</w:t>
            </w:r>
          </w:p>
        </w:tc>
      </w:tr>
      <w:tr w14:paraId="036D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8547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售后服务方案</w:t>
            </w:r>
          </w:p>
        </w:tc>
        <w:tc>
          <w:tcPr>
            <w:tcW w:w="1004" w:type="dxa"/>
            <w:vAlign w:val="center"/>
          </w:tcPr>
          <w:p w14:paraId="1AC4470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78" w:type="dxa"/>
          </w:tcPr>
          <w:p w14:paraId="34DD44B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 服务体系（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分）：设立7x24小时专属服务窗口，明确问题响应（2小时内）、解决（24小时内）、退换货流程及定期对账机制。方案完整、响应层级清晰、承诺优于采购文件要求的，得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分；方案较完整、满足基本要求的，得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分；方案不完善的，得1-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分。</w:t>
            </w:r>
          </w:p>
          <w:p w14:paraId="1ECD0B1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 质量承诺与保障（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分）：提供完善的质量跟踪、问题追溯、不合格品处理机制及环保安全承诺。承诺具体、保障措施有力的，得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分；承诺较具体的，得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分；承诺空泛的，得1-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分。</w:t>
            </w:r>
          </w:p>
        </w:tc>
      </w:tr>
    </w:tbl>
    <w:p w14:paraId="41C52FB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样品评审部分（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998"/>
        <w:gridCol w:w="4684"/>
      </w:tblGrid>
      <w:tr w14:paraId="190C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1E2168A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632E8EE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4684" w:type="dxa"/>
            <w:shd w:val="clear" w:color="auto" w:fill="auto"/>
            <w:vAlign w:val="top"/>
          </w:tcPr>
          <w:p w14:paraId="5C8D264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评审内容与评分标准</w:t>
            </w:r>
          </w:p>
        </w:tc>
      </w:tr>
      <w:tr w14:paraId="7184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5A3899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样品质量符合度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C840C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684" w:type="dxa"/>
            <w:shd w:val="clear" w:color="auto" w:fill="auto"/>
            <w:vAlign w:val="top"/>
          </w:tcPr>
          <w:p w14:paraId="7F8D196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依据附件1《采购需求及技术标准要求》中的参数，对样品的外观、材质、工艺、包装等进行综合比对。</w:t>
            </w:r>
          </w:p>
          <w:bookmarkEnd w:id="0"/>
          <w:p w14:paraId="7A8435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评分标准：完全符合或优于采购需求，质量上乘的，得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5分；基本符合采购需求，质量良好的，得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4分；与采购需求有轻微偏差，质量一般的，得1-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2分；未提供样品或与需求严重不符的，得0分。</w:t>
            </w:r>
          </w:p>
        </w:tc>
      </w:tr>
    </w:tbl>
    <w:p w14:paraId="7CDFF41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</w:p>
    <w:p w14:paraId="1C454A1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磋商小组各成员独立对每一份响应文件进行评分。所有成员评分的算术平均值即为该供应商的最终得分（保留小数点后两位）。</w:t>
      </w:r>
    </w:p>
    <w:p w14:paraId="1273D27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出现综合得分相同时，按以下顺序确定排名：</w:t>
      </w:r>
    </w:p>
    <w:p w14:paraId="29FD918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技术部分得分高的供应商排名在前；</w:t>
      </w:r>
    </w:p>
    <w:p w14:paraId="1F29A9B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技术部分得分相同的，商务部分得分高的供应商排名在前；</w:t>
      </w:r>
    </w:p>
    <w:p w14:paraId="728BB8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若仍相同，由磋商小组投票决定。</w:t>
      </w:r>
    </w:p>
    <w:p w14:paraId="0A650C7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无效响应的认定：除资格性和符合性审查不通过外，供应商在响应文件中出现下列情形之一的，经磋商小组集体审议后，可认定其响应无效：</w:t>
      </w:r>
    </w:p>
    <w:p w14:paraId="1704E02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不同供应商的响应文件由同一单位或个人编制的；</w:t>
      </w:r>
    </w:p>
    <w:p w14:paraId="2A7FBB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报价明显低于其他供应商报价，且不能合理说明或提供相关证明的；</w:t>
      </w:r>
    </w:p>
    <w:p w14:paraId="1D93708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响应文件含有法律、法规明令禁止内容的。</w:t>
      </w:r>
    </w:p>
    <w:p w14:paraId="7D30E914">
      <w:pPr>
        <w:rPr>
          <w:rFonts w:hint="eastAsia" w:ascii="宋体" w:hAnsi="宋体" w:eastAsia="宋体" w:cs="宋体"/>
          <w:sz w:val="28"/>
          <w:szCs w:val="28"/>
        </w:rPr>
      </w:pPr>
    </w:p>
    <w:p w14:paraId="753F963D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丽水市农村电子商务有限公司</w:t>
      </w:r>
    </w:p>
    <w:p w14:paraId="56745C9D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D9F22"/>
    <w:multiLevelType w:val="singleLevel"/>
    <w:tmpl w:val="8C3D9F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F5FD2"/>
    <w:rsid w:val="2B7F5FD2"/>
    <w:rsid w:val="326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1841</Words>
  <Characters>1942</Characters>
  <Lines>0</Lines>
  <Paragraphs>0</Paragraphs>
  <TotalTime>4</TotalTime>
  <ScaleCrop>false</ScaleCrop>
  <LinksUpToDate>false</LinksUpToDate>
  <CharactersWithSpaces>1964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2026-01-09T05:46:00Z</dcterms:created>
  <dc:creator>克琳顿&amp;克啦啦的老豆</dc:creator>
  <cp:lastModifiedBy>克琳顿&amp;克啦啦的老豆</cp:lastModifiedBy>
  <dcterms:modified xsi:type="dcterms:W3CDTF">2026-01-12T06:22:49Z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29954858567D4E22988B6FC92E564B27_11</vt:lpwstr>
  </property>
  <property fmtid="{D5CDD505-2E9C-101B-9397-08002B2CF9AE}" pid="4" name="KSOTemplateDocerSaveRecord">
    <vt:lpwstr>eyJoZGlkIjoiM2RlZGFmODY5YjUwZDNhNjE1MDdlMzNlMTIwMzg0NDQiLCJ1c2VySWQiOiI0MjQ0MjgwNDIifQ==</vt:lpwstr>
  </property>
</Properties>
</file>